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spacing w:before="0" w:after="0"/>
        <w:jc w:val="center"/>
        <w:rPr>
          <w:rFonts w:ascii="Arial" w:hAnsi="Arial" w:cs="Arial"/>
          <w:b/>
          <w:sz w:val="22"/>
        </w:rPr>
      </w:pPr>
      <w:r>
        <w:rPr>
          <w:rFonts w:cs="Arial" w:ascii="Arial" w:hAnsi="Arial"/>
          <w:b/>
          <w:sz w:val="22"/>
        </w:rPr>
        <w:t>GAMTOTVARKOS PLANŲ PARENGIMO PASLAUGŲ TECHNINĖ SPECIFIKACIJA</w:t>
      </w:r>
    </w:p>
    <w:p>
      <w:pPr>
        <w:pStyle w:val="Normal"/>
        <w:shd w:val="clear" w:color="auto" w:fill="FFFFFF"/>
        <w:spacing w:before="0" w:after="0"/>
        <w:jc w:val="center"/>
        <w:rPr>
          <w:rFonts w:ascii="Arial" w:hAnsi="Arial" w:eastAsia="Times New Roman" w:cs="Arial"/>
          <w:b/>
          <w:bCs/>
          <w:sz w:val="22"/>
          <w:lang w:eastAsia="lt-LT"/>
        </w:rPr>
      </w:pPr>
      <w:r>
        <w:rPr>
          <w:rFonts w:eastAsia="Times New Roman" w:cs="Arial" w:ascii="Arial" w:hAnsi="Arial"/>
          <w:b/>
          <w:bCs/>
          <w:sz w:val="22"/>
          <w:lang w:eastAsia="lt-LT"/>
        </w:rPr>
      </w:r>
    </w:p>
    <w:p>
      <w:pPr>
        <w:pStyle w:val="Normal"/>
        <w:numPr>
          <w:ilvl w:val="0"/>
          <w:numId w:val="3"/>
        </w:numPr>
        <w:tabs>
          <w:tab w:val="clear" w:pos="1296"/>
          <w:tab w:val="left" w:pos="284" w:leader="none"/>
        </w:tabs>
        <w:spacing w:before="0" w:after="0"/>
        <w:ind w:hanging="0" w:left="0"/>
        <w:jc w:val="both"/>
        <w:textAlignment w:val="baseline"/>
        <w:rPr>
          <w:rFonts w:ascii="Arial" w:hAnsi="Arial" w:eastAsia="Times New Roman" w:cs="Arial"/>
          <w:sz w:val="22"/>
          <w:lang w:eastAsia="lt-LT"/>
        </w:rPr>
      </w:pPr>
      <w:r>
        <w:rPr>
          <w:rFonts w:eastAsia="Times New Roman" w:cs="Arial" w:ascii="Arial" w:hAnsi="Arial"/>
          <w:b/>
          <w:bCs/>
          <w:sz w:val="22"/>
          <w:lang w:eastAsia="lt-LT"/>
        </w:rPr>
        <w:t>Pirkimo objektas.</w:t>
      </w:r>
      <w:r>
        <w:rPr>
          <w:rFonts w:eastAsia="Times New Roman" w:cs="Arial" w:ascii="Arial" w:hAnsi="Arial"/>
          <w:sz w:val="22"/>
          <w:lang w:eastAsia="lt-LT"/>
        </w:rPr>
        <w:t xml:space="preserve"> Gamtotvarkos planų parengimo paslaugos 3 vnt. (toliau – Paslaugos) , BVPŽ kodas 90712200-3 </w:t>
      </w:r>
      <w:r>
        <w:rPr>
          <w:rFonts w:eastAsia="Times New Roman" w:cs="Arial" w:ascii="Arial" w:hAnsi="Arial"/>
          <w:sz w:val="22"/>
          <w:lang w:eastAsia="lt-LT"/>
        </w:rPr>
        <w:t>(</w:t>
      </w:r>
      <w:r>
        <w:rPr>
          <w:rFonts w:eastAsia="Times New Roman" w:cs="Arial" w:ascii="Arial" w:hAnsi="Arial"/>
          <w:sz w:val="22"/>
          <w:lang w:eastAsia="lt-LT"/>
        </w:rPr>
        <w:t>Miškų išsaugojimo strategijų planavimas</w:t>
      </w:r>
      <w:r>
        <w:rPr>
          <w:rFonts w:eastAsia="Times New Roman" w:cs="Arial" w:ascii="Arial" w:hAnsi="Arial"/>
          <w:sz w:val="22"/>
          <w:lang w:eastAsia="lt-LT"/>
        </w:rPr>
        <w:t>)</w:t>
      </w:r>
      <w:r>
        <w:rPr>
          <w:rFonts w:eastAsia="Times New Roman" w:cs="Arial" w:ascii="Arial" w:hAnsi="Arial"/>
          <w:sz w:val="22"/>
          <w:lang w:eastAsia="lt-LT"/>
        </w:rPr>
        <w:t>.</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r>
    </w:p>
    <w:p>
      <w:pPr>
        <w:pStyle w:val="Normal"/>
        <w:numPr>
          <w:ilvl w:val="0"/>
          <w:numId w:val="1"/>
        </w:numPr>
        <w:tabs>
          <w:tab w:val="clear" w:pos="1296"/>
          <w:tab w:val="left" w:pos="284" w:leader="none"/>
        </w:tabs>
        <w:spacing w:before="0" w:after="0"/>
        <w:ind w:hanging="0" w:left="0"/>
        <w:jc w:val="both"/>
        <w:textAlignment w:val="baseline"/>
        <w:rPr>
          <w:rFonts w:ascii="Arial" w:hAnsi="Arial" w:eastAsia="Times New Roman" w:cs="Arial"/>
          <w:sz w:val="22"/>
          <w:lang w:eastAsia="lt-LT"/>
        </w:rPr>
      </w:pPr>
      <w:r>
        <w:rPr>
          <w:rFonts w:eastAsia="Times New Roman" w:cs="Arial" w:ascii="Arial" w:hAnsi="Arial"/>
          <w:b/>
          <w:bCs/>
          <w:sz w:val="22"/>
          <w:lang w:eastAsia="lt-LT"/>
        </w:rPr>
        <w:t>Pirkimo tikslas.</w:t>
      </w:r>
      <w:r>
        <w:rPr>
          <w:rFonts w:eastAsia="Times New Roman" w:cs="Arial" w:ascii="Arial" w:hAnsi="Arial"/>
          <w:sz w:val="22"/>
          <w:lang w:eastAsia="lt-LT"/>
        </w:rPr>
        <w:t xml:space="preserve"> </w:t>
      </w:r>
      <w:r>
        <w:rPr>
          <w:rFonts w:cs="Arial" w:ascii="Arial" w:hAnsi="Arial"/>
          <w:sz w:val="22"/>
        </w:rPr>
        <w:t xml:space="preserve">Parengti gamtotvarkos planus trims projekto Nr. 101147231 — LIFE23-NAT-LT-LIFE ForestHabitatLT „Kompleksinis požiūris į buveinių išsaugojimą artimesnės gamtai miškininkystės praktikas buveinių apsaugai svarbių teritorijų (BAST) lygiu“ (toliaus – Projektas) teritorijoms: </w:t>
      </w:r>
    </w:p>
    <w:p>
      <w:pPr>
        <w:pStyle w:val="Normal"/>
        <w:spacing w:lineRule="auto" w:line="240" w:before="0" w:after="0"/>
        <w:jc w:val="both"/>
        <w:rPr>
          <w:rFonts w:ascii="Arial" w:hAnsi="Arial" w:cs="Arial"/>
          <w:sz w:val="22"/>
        </w:rPr>
      </w:pPr>
      <w:r>
        <w:rPr>
          <w:rFonts w:eastAsia="" w:cs="Arial" w:ascii="Arial" w:hAnsi="Arial" w:eastAsiaTheme="minorEastAsia"/>
          <w:sz w:val="22"/>
        </w:rPr>
        <w:t xml:space="preserve">1) </w:t>
      </w:r>
      <w:r>
        <w:rPr>
          <w:rFonts w:eastAsia="" w:cs="Arial" w:ascii="Arial" w:hAnsi="Arial" w:eastAsiaTheme="minorEastAsia"/>
          <w:sz w:val="22"/>
          <w:u w:val="single"/>
        </w:rPr>
        <w:t>Šimonių giriai</w:t>
      </w:r>
      <w:r>
        <w:rPr>
          <w:rFonts w:eastAsia="" w:cs="Arial" w:ascii="Arial" w:hAnsi="Arial" w:eastAsiaTheme="minorEastAsia"/>
          <w:sz w:val="22"/>
        </w:rPr>
        <w:t xml:space="preserve">: </w:t>
      </w:r>
      <w:r>
        <w:rPr>
          <w:rFonts w:cs="Arial" w:ascii="Arial" w:hAnsi="Arial"/>
          <w:sz w:val="22"/>
        </w:rPr>
        <w:t>buveinių apsaugai svarbios teritorijos, pavadinimu</w:t>
      </w:r>
      <w:r>
        <w:rPr>
          <w:rFonts w:eastAsia="" w:cs="Arial" w:ascii="Arial" w:hAnsi="Arial" w:eastAsiaTheme="minorEastAsia"/>
          <w:sz w:val="22"/>
        </w:rPr>
        <w:t xml:space="preserve"> Šimonių giria </w:t>
      </w:r>
      <w:r>
        <w:rPr>
          <w:rFonts w:cs="Arial" w:ascii="Arial" w:hAnsi="Arial"/>
          <w:sz w:val="22"/>
        </w:rPr>
        <w:t xml:space="preserve">(kodas – LTANY0013, toliau – Šimonių girios BAST), paukščių apsaugai svarbios teritorijos, </w:t>
      </w:r>
      <w:r>
        <w:rPr>
          <w:rFonts w:eastAsia="" w:cs="Arial" w:ascii="Arial" w:hAnsi="Arial" w:eastAsiaTheme="minorEastAsia"/>
          <w:sz w:val="22"/>
        </w:rPr>
        <w:t>pavadinimu</w:t>
      </w:r>
      <w:r>
        <w:rPr>
          <w:rFonts w:cs="Arial" w:ascii="Arial" w:hAnsi="Arial"/>
          <w:sz w:val="22"/>
        </w:rPr>
        <w:t xml:space="preserve"> Šimonių giria (kodas – LTANYB001; toliau – Šimonių girios PAST) ir Šimonių girios biosferos poligono ribomis. </w:t>
      </w:r>
      <w:r>
        <w:rPr>
          <w:rFonts w:eastAsia="" w:cs="Arial" w:ascii="Arial" w:hAnsi="Arial" w:eastAsiaTheme="minorEastAsia"/>
          <w:sz w:val="22"/>
        </w:rPr>
        <w:t>Teritorijos plotas 23266 ha;</w:t>
      </w:r>
    </w:p>
    <w:p>
      <w:pPr>
        <w:pStyle w:val="Normal"/>
        <w:spacing w:lineRule="auto" w:line="240" w:before="0" w:after="0"/>
        <w:jc w:val="both"/>
        <w:rPr>
          <w:rFonts w:ascii="Arial" w:hAnsi="Arial" w:cs="Arial"/>
          <w:sz w:val="22"/>
        </w:rPr>
      </w:pPr>
      <w:r>
        <w:rPr>
          <w:rFonts w:cs="Arial" w:ascii="Arial" w:hAnsi="Arial"/>
          <w:sz w:val="22"/>
          <w:lang w:eastAsia="zh-CN"/>
        </w:rPr>
        <w:t xml:space="preserve">2) </w:t>
      </w:r>
      <w:r>
        <w:rPr>
          <w:rFonts w:cs="Arial" w:ascii="Arial" w:hAnsi="Arial"/>
          <w:sz w:val="22"/>
          <w:u w:val="single"/>
          <w:lang w:eastAsia="zh-CN"/>
        </w:rPr>
        <w:t>Buktos miškui</w:t>
      </w:r>
      <w:r>
        <w:rPr>
          <w:rFonts w:cs="Arial" w:ascii="Arial" w:hAnsi="Arial"/>
          <w:sz w:val="22"/>
          <w:lang w:eastAsia="zh-CN"/>
        </w:rPr>
        <w:t xml:space="preserve">: daliai </w:t>
      </w:r>
      <w:r>
        <w:rPr>
          <w:rFonts w:cs="Arial" w:ascii="Arial" w:hAnsi="Arial"/>
          <w:sz w:val="22"/>
        </w:rPr>
        <w:t xml:space="preserve">buveinių apsaugai svarbios teritorijos pavadinimu Žuvinto ežeras ir Buktos miškas (kodas – LTALY0005, toliau – Žuvinto ežero ir Buktos miško BAST), su ja persidengiančiai daliai paukščių apsaugai svarbios teritorijos pavadinimu Žuvinto, Žaltyčio ir Amalvo pelkės (kodas – LTALYB003, toliau – Žuvinto, Žaltyčio ir Amalvo pelkės PAST) ir su jomis persidengiančiai Žuvinto biosferos rezervato daliai. </w:t>
      </w:r>
      <w:r>
        <w:rPr>
          <w:rFonts w:cs="Arial" w:ascii="Arial" w:hAnsi="Arial"/>
          <w:sz w:val="22"/>
          <w:lang w:eastAsia="zh-CN"/>
        </w:rPr>
        <w:t>Teritorijos plotas 2577 ha;</w:t>
      </w:r>
    </w:p>
    <w:p>
      <w:pPr>
        <w:pStyle w:val="Normal"/>
        <w:spacing w:lineRule="auto" w:line="240" w:before="0" w:after="0"/>
        <w:jc w:val="both"/>
        <w:rPr>
          <w:rFonts w:ascii="Arial" w:hAnsi="Arial" w:cs="Arial"/>
          <w:sz w:val="22"/>
          <w:u w:val="single"/>
          <w:lang w:eastAsia="zh-CN"/>
        </w:rPr>
      </w:pPr>
      <w:r>
        <w:rPr>
          <w:rFonts w:cs="Arial" w:ascii="Arial" w:hAnsi="Arial"/>
          <w:sz w:val="22"/>
          <w:lang w:eastAsia="zh-CN"/>
        </w:rPr>
        <w:t xml:space="preserve">3) </w:t>
      </w:r>
      <w:r>
        <w:rPr>
          <w:rFonts w:cs="Arial" w:ascii="Arial" w:hAnsi="Arial"/>
          <w:sz w:val="22"/>
          <w:u w:val="single"/>
          <w:lang w:eastAsia="zh-CN"/>
        </w:rPr>
        <w:t>Praviršulio tyreliui</w:t>
      </w:r>
      <w:r>
        <w:rPr>
          <w:rFonts w:cs="Arial" w:ascii="Arial" w:hAnsi="Arial"/>
          <w:sz w:val="22"/>
          <w:lang w:eastAsia="zh-CN"/>
        </w:rPr>
        <w:t>: buveinių apsaugai svarbios teritorijos, pavadinimu Praviršulio tyrelis (kodas – LTRAD0001, toliau – Praviršulio tyrelio BAST), su ja persidengiančios paukščių apsaugai svarbios teritorijos, pavadinimu Praviršulio tyrelis (kodas - LTRADB003, toliau – Praviršulio tyrelio PAST), bei su jomis persidengiančio Praviršulio tyrelio valstybinio botaninio-zoologinio draustinio ribomis. Teritorijos plotas 3215 ha.</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t xml:space="preserve">Gamtotvarkos planai privalo būti parengti, vadovaujantis Saugomų teritorijų gamtotvarkos planų, tikslinių programų ir veiksmų planų rengimo tvarkos aprašu, patvirtintu Lietuvos Respublikos aplinkos ministro 2024 gegužės 28 d. įsakymu Nr. D1-180 „Dėl saugomų teritorijų gamtotvarkos planų, tikslinių programų ir veiksmų planų rengimo tvarkos aprašo patvirtinimo“ (toliau – Tvarkos aprašas). </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r>
    </w:p>
    <w:p>
      <w:pPr>
        <w:pStyle w:val="Normal"/>
        <w:numPr>
          <w:ilvl w:val="0"/>
          <w:numId w:val="1"/>
        </w:numPr>
        <w:tabs>
          <w:tab w:val="clear" w:pos="1296"/>
          <w:tab w:val="left" w:pos="284" w:leader="none"/>
        </w:tabs>
        <w:spacing w:before="0" w:after="0"/>
        <w:ind w:hanging="0" w:left="0"/>
        <w:jc w:val="both"/>
        <w:textAlignment w:val="baseline"/>
        <w:rPr>
          <w:rFonts w:ascii="Arial" w:hAnsi="Arial" w:eastAsia="Times New Roman" w:cs="Arial"/>
          <w:bCs/>
          <w:sz w:val="22"/>
          <w:lang w:eastAsia="lt-LT"/>
        </w:rPr>
      </w:pPr>
      <w:r>
        <w:rPr>
          <w:rFonts w:eastAsia="Times New Roman" w:cs="Arial" w:ascii="Arial" w:hAnsi="Arial"/>
          <w:b/>
          <w:sz w:val="22"/>
          <w:lang w:eastAsia="lt-LT"/>
        </w:rPr>
        <w:t xml:space="preserve">Esama situacija. </w:t>
      </w:r>
      <w:r>
        <w:rPr>
          <w:rFonts w:cs="Arial" w:ascii="Arial" w:hAnsi="Arial"/>
          <w:sz w:val="22"/>
        </w:rPr>
        <w:t xml:space="preserve">Nuo Projekto pradžios projekto partneriai Vytauto Didžiojo universitetas ir VšĮ „Pelkių atkūrimo ir apsaugos fondas“ parengė priemones reikalingas EB svarbos buveinių Projekto teritorijose būklės pagerinimui. Tai apima artimos gamtai miškininkystės priemones ir hidrologinio režimo atkūrimo priemones. Šios kompleksinės veiklos turi būti numatytos Projekto teritorijų Gamtotvarkos planuose. Kartu su technine specifikacija jos bus pateikiamos erdvinių duomenų formatu. </w:t>
      </w:r>
    </w:p>
    <w:p>
      <w:pPr>
        <w:pStyle w:val="Normal"/>
        <w:spacing w:before="0" w:after="0"/>
        <w:jc w:val="both"/>
        <w:textAlignment w:val="baseline"/>
        <w:rPr>
          <w:rFonts w:ascii="Arial" w:hAnsi="Arial" w:eastAsia="Times New Roman" w:cs="Arial"/>
          <w:b/>
          <w:bCs/>
          <w:sz w:val="22"/>
          <w:lang w:eastAsia="lt-LT"/>
        </w:rPr>
      </w:pPr>
      <w:r>
        <w:rPr>
          <w:rFonts w:eastAsia="Times New Roman" w:cs="Arial" w:ascii="Arial" w:hAnsi="Arial"/>
          <w:b/>
          <w:bCs/>
          <w:sz w:val="22"/>
          <w:lang w:eastAsia="lt-LT"/>
        </w:rPr>
      </w:r>
    </w:p>
    <w:p>
      <w:pPr>
        <w:pStyle w:val="Normal"/>
        <w:numPr>
          <w:ilvl w:val="0"/>
          <w:numId w:val="1"/>
        </w:numPr>
        <w:tabs>
          <w:tab w:val="clear" w:pos="1296"/>
          <w:tab w:val="left" w:pos="284" w:leader="none"/>
        </w:tabs>
        <w:spacing w:before="0" w:after="0"/>
        <w:ind w:hanging="0" w:left="0"/>
        <w:jc w:val="both"/>
        <w:textAlignment w:val="baseline"/>
        <w:rPr>
          <w:rFonts w:ascii="Arial" w:hAnsi="Arial" w:eastAsia="Times New Roman" w:cs="Arial"/>
          <w:b/>
          <w:bCs/>
          <w:sz w:val="22"/>
          <w:lang w:eastAsia="lt-LT"/>
        </w:rPr>
      </w:pPr>
      <w:r>
        <w:rPr>
          <w:rFonts w:eastAsia="Times New Roman" w:cs="Arial" w:ascii="Arial" w:hAnsi="Arial"/>
          <w:b/>
          <w:bCs/>
          <w:sz w:val="22"/>
          <w:lang w:eastAsia="lt-LT"/>
        </w:rPr>
        <w:t>Reikalavimai Veiksmų planų turiniui</w:t>
      </w:r>
    </w:p>
    <w:p>
      <w:pPr>
        <w:pStyle w:val="Normal"/>
        <w:spacing w:before="0" w:after="0"/>
        <w:jc w:val="both"/>
        <w:textAlignment w:val="baseline"/>
        <w:rPr>
          <w:rFonts w:ascii="Arial" w:hAnsi="Arial" w:cs="Arial"/>
          <w:sz w:val="22"/>
          <w:lang w:eastAsia="lt-LT"/>
        </w:rPr>
      </w:pPr>
      <w:r>
        <w:rPr>
          <w:rFonts w:eastAsia="Times New Roman" w:cs="Arial" w:ascii="Arial" w:hAnsi="Arial"/>
          <w:sz w:val="22"/>
          <w:lang w:eastAsia="lt-LT"/>
        </w:rPr>
        <w:t>Gamtotvarkos planai privalo atitikti Tvarkos aprašo reikalavimus. Detalūs veiklų, kurios privalo būti nurodytos Gamtotvarkos planuose, aprašymai ir plotai, pateikiami Užsakovo įprastinių erdvinių duomenų formatais.</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r>
    </w:p>
    <w:p>
      <w:pPr>
        <w:pStyle w:val="Normal"/>
        <w:numPr>
          <w:ilvl w:val="0"/>
          <w:numId w:val="1"/>
        </w:numPr>
        <w:tabs>
          <w:tab w:val="clear" w:pos="1296"/>
          <w:tab w:val="left" w:pos="284" w:leader="none"/>
        </w:tabs>
        <w:spacing w:before="0" w:after="0"/>
        <w:ind w:hanging="0" w:left="0"/>
        <w:jc w:val="both"/>
        <w:textAlignment w:val="baseline"/>
        <w:rPr>
          <w:rFonts w:ascii="Arial" w:hAnsi="Arial" w:eastAsia="Times New Roman" w:cs="Arial"/>
          <w:sz w:val="22"/>
          <w:lang w:eastAsia="lt-LT"/>
        </w:rPr>
      </w:pPr>
      <w:r>
        <w:rPr>
          <w:rFonts w:eastAsia="Times New Roman" w:cs="Arial" w:ascii="Arial" w:hAnsi="Arial"/>
          <w:b/>
          <w:bCs/>
          <w:sz w:val="22"/>
          <w:lang w:eastAsia="lt-LT"/>
        </w:rPr>
        <w:t>Uždaviniai  Teikėjui:</w:t>
      </w:r>
    </w:p>
    <w:p>
      <w:pPr>
        <w:pStyle w:val="Normal"/>
        <w:spacing w:before="0" w:after="0"/>
        <w:jc w:val="both"/>
        <w:textAlignment w:val="baseline"/>
        <w:rPr>
          <w:rFonts w:ascii="Arial" w:hAnsi="Arial" w:eastAsia="Times New Roman" w:cs="Arial"/>
          <w:color w:val="7030A0"/>
          <w:sz w:val="22"/>
          <w:lang w:eastAsia="lt-LT"/>
        </w:rPr>
      </w:pPr>
      <w:r>
        <w:rPr>
          <w:rFonts w:eastAsia="Times New Roman" w:cs="Arial" w:ascii="Arial" w:hAnsi="Arial"/>
          <w:color w:val="7030A0"/>
          <w:sz w:val="22"/>
          <w:lang w:eastAsia="lt-LT"/>
        </w:rPr>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t>5.1. Parengti Gamtotvarkos planus, atitinkančius Tvarkos apraše nurodytus reikalavimus;</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t>5.2. Gamtotvarkos planuose atvaizduoti nurodytas priemones ir plotus, kuriuos Užsakovas pateiks erdvinių duomenų formatu, su nurodytais plotų poligonais, kurių atributų lentelėje bus nurodytos konkrečios priemonės, kurios turi būti suprojektuotos ;</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t>5.3. Suderinti Gamtotvarkos planų turinį su atsakingais Užsakovo darbuotojais;</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t>5.4. Atlikti reikalingas procedūras Gamtotvarkos planų suderinimui su atitinkamomis Saugomų teritorijų direkcijomis (toliau – STD) bei Valstybine saugomų teritorijų tarnyba prie Aplinkos ministerijos (toliau – VSTT);</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t>5.5 Rengiant Gamtotvarkos planus bendradarbiauti su Užsakovu ir atitinkamai koreguoti turinį, atsižvelgiant į pateiktas Užsakovo, STD ir VSTT pastabas;</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t>5.6. Reguliariai organizuoti susitikimus su Užsakovu pristatant Gamtotvarkos planų rengimo progresą.</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r>
    </w:p>
    <w:p>
      <w:pPr>
        <w:pStyle w:val="Normal"/>
        <w:spacing w:before="0" w:after="0"/>
        <w:jc w:val="both"/>
        <w:textAlignment w:val="baseline"/>
        <w:rPr>
          <w:rFonts w:ascii="Arial" w:hAnsi="Arial" w:eastAsia="Times New Roman" w:cs="Arial"/>
          <w:b/>
          <w:bCs/>
          <w:sz w:val="22"/>
          <w:lang w:eastAsia="lt-LT"/>
        </w:rPr>
      </w:pPr>
      <w:r>
        <w:rPr>
          <w:rFonts w:eastAsia="Times New Roman" w:cs="Arial" w:ascii="Arial" w:hAnsi="Arial"/>
          <w:b/>
          <w:bCs/>
          <w:sz w:val="22"/>
          <w:lang w:eastAsia="lt-LT"/>
        </w:rPr>
        <w:t>6. Paslaugų teikimo tvarka, terminai ir kiti reikalavimai:</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t>6.1. Ne vėliau kaip per 5 (penkias) darbo dienas nuo Sutarties pasirašymo dienos Paslaugų</w:t>
        <w:br/>
        <w:t>teikėjas privalo parengti Gamtotvarkos planų rengimo planą ir jį suderinti su atsakingais Užsakovo darbuotojais;</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t>6.2. Paslaugų vykdymo metu Paslaugų teikėjas turi teikti informaciją apie pasiektą pažangą, atliktus darbus, informuodamas VMU atsakingus darbuotojus el. paštu apie parengtus Gamtotvarkos planus;</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t>6.3. Vykdydamas Sutartį, Paslaugų teikėjas privalo organizuoti susitikimus su Užsakovu pagal poreikį kokybiškam Gamtotvarkos planų projektų parengimui arba Užsakovui išreiškus pageidavimą;</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t xml:space="preserve">6.4. </w:t>
      </w:r>
      <w:r>
        <w:rPr>
          <w:rFonts w:cs="Arial" w:ascii="Arial" w:hAnsi="Arial"/>
          <w:sz w:val="22"/>
        </w:rPr>
        <w:t>Tiekėjas privalo atsižvelgti į Užsakovo pastabas dėl Gamtotvarkos planų projektų turinio ir savo lėšomis Veiksmų planų turinį pataisyti;</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t>6.5. Pastabas pateiktiems Gamtotvarkos planų projektams Užsakovas pateiks per 5 (penkias) darbo dienas arba per kitą, konkrečiu atveju raštu suderintą terminą;</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t>6.6. Atsakymus į pastabas ir pagal gautas pastabas pakoreguotą rezultatą, Paslaugų teikėjas turi pateikti per 5 (penkias) darbo dienas arba per kitą konkrečiu atveju raštu suderintą terminą;</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t>6.7. Paslaugų rezultatas pateikiamas lietuvių kalba, skaitmeniniu variantu (aktyvia koregavimui forma);</w:t>
      </w:r>
    </w:p>
    <w:p>
      <w:pPr>
        <w:pStyle w:val="Normal"/>
        <w:spacing w:before="0" w:after="0"/>
        <w:jc w:val="both"/>
        <w:textAlignment w:val="baseline"/>
        <w:rPr>
          <w:rFonts w:ascii="Arial" w:hAnsi="Arial" w:eastAsia="Times New Roman" w:cs="Arial"/>
          <w:sz w:val="22"/>
          <w:lang w:eastAsia="lt-LT"/>
        </w:rPr>
      </w:pPr>
      <w:r>
        <w:rPr>
          <w:rFonts w:eastAsia="Times New Roman" w:cs="Arial" w:ascii="Arial" w:hAnsi="Arial"/>
          <w:sz w:val="22"/>
          <w:lang w:eastAsia="lt-LT"/>
        </w:rPr>
        <w:t>6.8. Paslaugos turi būti atliktos ne vėliau kaip iki 2026 birželio 1 d.</w:t>
      </w:r>
    </w:p>
    <w:p>
      <w:pPr>
        <w:pStyle w:val="Normal"/>
        <w:shd w:val="clear" w:color="auto" w:fill="FFFFFF"/>
        <w:spacing w:before="0" w:after="200"/>
        <w:jc w:val="both"/>
        <w:rPr>
          <w:rFonts w:ascii="Arial" w:hAnsi="Arial" w:cs="Arial"/>
          <w:sz w:val="22"/>
        </w:rPr>
      </w:pPr>
      <w:r>
        <w:rPr>
          <w:rFonts w:cs="Arial" w:ascii="Arial" w:hAnsi="Arial"/>
          <w:sz w:val="22"/>
        </w:rPr>
        <w:t>6.9. Paslaugų teikimo trukmė esant nenumatytoms aplinkybėms (techninėms, finansinėms ar iškilus kitoms sąlygoms, kurios trukdytų sutarties šaliai įvykdyti savo įsipareigojimus laiku), gali būti pratęsta 30 (trisdešimt) kalendorinių dienų šalių papildomu susitarimu, kuris yra neatskiriama sutarties dalis. Pratęsus sutartį paslaugos apimtys ir kaina nekinta.</w:t>
      </w:r>
    </w:p>
    <w:sectPr>
      <w:headerReference w:type="even" r:id="rId2"/>
      <w:headerReference w:type="default" r:id="rId3"/>
      <w:headerReference w:type="first" r:id="rId4"/>
      <w:type w:val="nextPage"/>
      <w:pgSz w:w="11906" w:h="16838"/>
      <w:pgMar w:left="1701" w:right="709" w:gutter="0" w:header="567" w:top="1134" w:footer="0" w:bottom="709"/>
      <w:pgNumType w:start="2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val="false"/>
      <w:spacing w:lineRule="auto" w:line="240" w:before="0" w:after="20"/>
      <w:jc w:val="both"/>
      <w:rPr/>
    </w:pPr>
    <w:r>
      <w:rPr/>
    </w:r>
    <w:r>
      <mc:AlternateContent>
        <mc:Choice Requires="wps">
          <w:drawing>
            <wp:anchor behindDoc="0" distT="0" distB="0" distL="0" distR="0" simplePos="0" locked="0" layoutInCell="1" allowOverlap="1" relativeHeight="0">
              <wp:simplePos x="0" y="0"/>
              <wp:positionH relativeFrom="margin">
                <wp:align>center</wp:align>
              </wp:positionH>
              <wp:positionV relativeFrom="paragraph">
                <wp:posOffset>635</wp:posOffset>
              </wp:positionV>
              <wp:extent cx="14605" cy="14605"/>
              <wp:effectExtent l="0" t="0" r="0" b="0"/>
              <wp:wrapSquare wrapText="bothSides"/>
              <wp:docPr id="1" name="Kadras1"/>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Header"/>
                            <w:pBdr/>
                            <w:spacing w:before="0" w:after="2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center;mso-position-horizontal-relative:margin">
              <v:fill opacity="0f"/>
              <v:textbox inset="0in,0in,0in,0in">
                <w:txbxContent>
                  <w:p>
                    <w:pPr>
                      <w:pStyle w:val="Header"/>
                      <w:pBdr/>
                      <w:spacing w:before="0" w:after="2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val="false"/>
      <w:spacing w:lineRule="auto" w:line="240" w:before="0" w:after="20"/>
      <w:jc w:val="both"/>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spacing w:before="0" w:after="20"/>
      <w:jc w:val="right"/>
      <w:rPr>
        <w:rFonts w:ascii="Arial" w:hAnsi="Arial" w:cs="Arial"/>
        <w:sz w:val="22"/>
        <w:szCs w:val="22"/>
      </w:rPr>
    </w:pPr>
    <w:r>
      <w:rPr>
        <w:rFonts w:cs="Arial" w:ascii="Arial" w:hAnsi="Arial"/>
        <w:sz w:val="22"/>
        <w:szCs w:val="2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5322"/>
        </w:tabs>
        <w:ind w:left="5322" w:hanging="360"/>
      </w:pPr>
      <w:rPr>
        <w:b/>
        <w:bCs/>
        <w:color w:val="auto"/>
      </w:rPr>
    </w:lvl>
    <w:lvl w:ilvl="1">
      <w:start w:val="1"/>
      <w:numFmt w:val="decimal"/>
      <w:lvlText w:val="%2."/>
      <w:lvlJc w:val="left"/>
      <w:pPr>
        <w:tabs>
          <w:tab w:val="num" w:pos="6042"/>
        </w:tabs>
        <w:ind w:left="6042" w:hanging="360"/>
      </w:pPr>
      <w:rPr/>
    </w:lvl>
    <w:lvl w:ilvl="2">
      <w:start w:val="1"/>
      <w:numFmt w:val="decimal"/>
      <w:lvlText w:val="%3."/>
      <w:lvlJc w:val="left"/>
      <w:pPr>
        <w:tabs>
          <w:tab w:val="num" w:pos="6762"/>
        </w:tabs>
        <w:ind w:left="6762" w:hanging="360"/>
      </w:pPr>
      <w:rPr/>
    </w:lvl>
    <w:lvl w:ilvl="3">
      <w:start w:val="1"/>
      <w:numFmt w:val="decimal"/>
      <w:lvlText w:val="%4."/>
      <w:lvlJc w:val="left"/>
      <w:pPr>
        <w:tabs>
          <w:tab w:val="num" w:pos="7482"/>
        </w:tabs>
        <w:ind w:left="7482" w:hanging="360"/>
      </w:pPr>
      <w:rPr/>
    </w:lvl>
    <w:lvl w:ilvl="4">
      <w:start w:val="1"/>
      <w:numFmt w:val="decimal"/>
      <w:lvlText w:val="%5."/>
      <w:lvlJc w:val="left"/>
      <w:pPr>
        <w:tabs>
          <w:tab w:val="num" w:pos="8202"/>
        </w:tabs>
        <w:ind w:left="8202" w:hanging="360"/>
      </w:pPr>
      <w:rPr/>
    </w:lvl>
    <w:lvl w:ilvl="5">
      <w:start w:val="1"/>
      <w:numFmt w:val="decimal"/>
      <w:lvlText w:val="%6."/>
      <w:lvlJc w:val="left"/>
      <w:pPr>
        <w:tabs>
          <w:tab w:val="num" w:pos="8922"/>
        </w:tabs>
        <w:ind w:left="8922" w:hanging="360"/>
      </w:pPr>
      <w:rPr/>
    </w:lvl>
    <w:lvl w:ilvl="6">
      <w:start w:val="1"/>
      <w:numFmt w:val="decimal"/>
      <w:lvlText w:val="%7."/>
      <w:lvlJc w:val="left"/>
      <w:pPr>
        <w:tabs>
          <w:tab w:val="num" w:pos="9642"/>
        </w:tabs>
        <w:ind w:left="9642" w:hanging="360"/>
      </w:pPr>
      <w:rPr/>
    </w:lvl>
    <w:lvl w:ilvl="7">
      <w:start w:val="1"/>
      <w:numFmt w:val="decimal"/>
      <w:lvlText w:val="%8."/>
      <w:lvlJc w:val="left"/>
      <w:pPr>
        <w:tabs>
          <w:tab w:val="num" w:pos="10362"/>
        </w:tabs>
        <w:ind w:left="10362" w:hanging="360"/>
      </w:pPr>
      <w:rPr/>
    </w:lvl>
    <w:lvl w:ilvl="8">
      <w:start w:val="1"/>
      <w:numFmt w:val="decimal"/>
      <w:lvlText w:val="%9."/>
      <w:lvlJc w:val="left"/>
      <w:pPr>
        <w:tabs>
          <w:tab w:val="num" w:pos="11082"/>
        </w:tabs>
        <w:ind w:left="11082" w:hanging="36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1"/>
    <w:lvlOverride w:ilvl="0">
      <w:startOverride w:val="1"/>
    </w:lvlOverride>
  </w:num>
</w:numbering>
</file>

<file path=word/settings.xml><?xml version="1.0" encoding="utf-8"?>
<w:settings xmlns:w="http://schemas.openxmlformats.org/wordprocessingml/2006/main">
  <w:zoom w:percent="100"/>
  <w:trackRevisions/>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e59db"/>
    <w:pPr>
      <w:widowControl/>
      <w:bidi w:val="0"/>
      <w:spacing w:lineRule="auto" w:line="276" w:before="0" w:after="200"/>
      <w:jc w:val="left"/>
    </w:pPr>
    <w:rPr>
      <w:rFonts w:ascii="Times New Roman" w:hAnsi="Times New Roman" w:eastAsia="Calibri" w:cs="Times New Roman"/>
      <w:color w:val="auto"/>
      <w:kern w:val="0"/>
      <w:sz w:val="24"/>
      <w:szCs w:val="22"/>
      <w:lang w:val="lt-LT" w:eastAsia="en-US" w:bidi="ar-SA"/>
      <w14:ligatures w14:val="none"/>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uiPriority w:val="99"/>
    <w:qFormat/>
    <w:rsid w:val="007e59db"/>
    <w:rPr>
      <w:rFonts w:ascii="Times New Roman" w:hAnsi="Times New Roman" w:eastAsia="Times New Roman" w:cs="Times New Roman"/>
      <w:kern w:val="0"/>
      <w:sz w:val="24"/>
      <w:szCs w:val="20"/>
      <w:lang w:eastAsia="lt-LT"/>
      <w14:ligatures w14:val="none"/>
    </w:rPr>
  </w:style>
  <w:style w:type="character" w:styleId="PoratDiagrama" w:customStyle="1">
    <w:name w:val="Poraštė Diagrama"/>
    <w:basedOn w:val="DefaultParagraphFont"/>
    <w:uiPriority w:val="99"/>
    <w:qFormat/>
    <w:rsid w:val="007e59db"/>
    <w:rPr>
      <w:rFonts w:ascii="Times New Roman" w:hAnsi="Times New Roman" w:eastAsia="Times New Roman" w:cs="Times New Roman"/>
      <w:kern w:val="0"/>
      <w:sz w:val="24"/>
      <w:szCs w:val="20"/>
      <w:lang w:eastAsia="lt-LT"/>
      <w14:ligatures w14:val="none"/>
    </w:rPr>
  </w:style>
  <w:style w:type="character" w:styleId="PageNumber">
    <w:name w:val="page number"/>
    <w:basedOn w:val="DefaultParagraphFont"/>
    <w:rsid w:val="007e59db"/>
    <w:rPr/>
  </w:style>
  <w:style w:type="character" w:styleId="CommentReference">
    <w:name w:val="annotation reference"/>
    <w:basedOn w:val="DefaultParagraphFont"/>
    <w:uiPriority w:val="99"/>
    <w:semiHidden/>
    <w:unhideWhenUsed/>
    <w:qFormat/>
    <w:rsid w:val="00334467"/>
    <w:rPr>
      <w:sz w:val="16"/>
      <w:szCs w:val="16"/>
    </w:rPr>
  </w:style>
  <w:style w:type="character" w:styleId="KomentarotekstasDiagrama" w:customStyle="1">
    <w:name w:val="Komentaro tekstas Diagrama"/>
    <w:basedOn w:val="DefaultParagraphFont"/>
    <w:uiPriority w:val="99"/>
    <w:qFormat/>
    <w:rsid w:val="00334467"/>
    <w:rPr>
      <w:rFonts w:ascii="Times New Roman" w:hAnsi="Times New Roman" w:eastAsia="Calibri" w:cs="Times New Roman"/>
      <w:kern w:val="0"/>
      <w:sz w:val="20"/>
      <w:szCs w:val="20"/>
      <w14:ligatures w14:val="none"/>
    </w:rPr>
  </w:style>
  <w:style w:type="character" w:styleId="KomentarotemaDiagrama" w:customStyle="1">
    <w:name w:val="Komentaro tema Diagrama"/>
    <w:basedOn w:val="KomentarotekstasDiagrama"/>
    <w:link w:val="annotationsubject"/>
    <w:uiPriority w:val="99"/>
    <w:semiHidden/>
    <w:qFormat/>
    <w:rsid w:val="00334467"/>
    <w:rPr>
      <w:rFonts w:ascii="Times New Roman" w:hAnsi="Times New Roman" w:eastAsia="Calibri" w:cs="Times New Roman"/>
      <w:b/>
      <w:bCs/>
      <w:kern w:val="0"/>
      <w:sz w:val="20"/>
      <w:szCs w:val="20"/>
      <w14:ligatures w14:val="none"/>
    </w:rPr>
  </w:style>
  <w:style w:type="character" w:styleId="InternetLink">
    <w:name w:val="Internet Link"/>
    <w:basedOn w:val="DefaultParagraphFont"/>
    <w:uiPriority w:val="99"/>
    <w:unhideWhenUsed/>
    <w:qFormat/>
    <w:rsid w:val="00115e4f"/>
    <w:rPr>
      <w:color w:themeColor="hyperlink" w:val="0563C1"/>
      <w:u w:val="single"/>
    </w:rPr>
  </w:style>
  <w:style w:type="character" w:styleId="UnresolvedMention">
    <w:name w:val="Unresolved Mention"/>
    <w:basedOn w:val="DefaultParagraphFont"/>
    <w:uiPriority w:val="99"/>
    <w:semiHidden/>
    <w:unhideWhenUsed/>
    <w:qFormat/>
    <w:rsid w:val="00115e4f"/>
    <w:rPr>
      <w:color w:val="605E5C"/>
      <w:shd w:fill="E1DFDD" w:val="clear"/>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7e59db"/>
    <w:pPr>
      <w:widowControl w:val="false"/>
      <w:tabs>
        <w:tab w:val="clear" w:pos="1296"/>
        <w:tab w:val="center" w:pos="4153" w:leader="none"/>
        <w:tab w:val="right" w:pos="8306" w:leader="none"/>
      </w:tabs>
      <w:spacing w:lineRule="auto" w:line="240" w:before="0" w:after="20"/>
      <w:jc w:val="both"/>
    </w:pPr>
    <w:rPr>
      <w:rFonts w:eastAsia="Times New Roman"/>
      <w:szCs w:val="20"/>
      <w:lang w:eastAsia="lt-LT"/>
    </w:rPr>
  </w:style>
  <w:style w:type="paragraph" w:styleId="Footer">
    <w:name w:val="footer"/>
    <w:basedOn w:val="Normal"/>
    <w:link w:val="PoratDiagrama"/>
    <w:uiPriority w:val="99"/>
    <w:unhideWhenUsed/>
    <w:rsid w:val="007e59db"/>
    <w:pPr>
      <w:tabs>
        <w:tab w:val="clear" w:pos="1296"/>
        <w:tab w:val="center" w:pos="4320" w:leader="none"/>
        <w:tab w:val="right" w:pos="8640" w:leader="none"/>
      </w:tabs>
      <w:spacing w:lineRule="auto" w:line="240" w:before="0" w:after="0"/>
    </w:pPr>
    <w:rPr>
      <w:rFonts w:eastAsia="Times New Roman"/>
      <w:szCs w:val="20"/>
      <w:lang w:eastAsia="lt-LT"/>
    </w:rPr>
  </w:style>
  <w:style w:type="paragraph" w:styleId="ListParagraph">
    <w:name w:val="List Paragraph"/>
    <w:basedOn w:val="Normal"/>
    <w:uiPriority w:val="34"/>
    <w:qFormat/>
    <w:rsid w:val="008c39da"/>
    <w:pPr>
      <w:spacing w:before="0" w:after="200"/>
      <w:ind w:left="720"/>
      <w:contextualSpacing/>
    </w:pPr>
    <w:rPr/>
  </w:style>
  <w:style w:type="paragraph" w:styleId="CommentText">
    <w:name w:val="annotation text"/>
    <w:basedOn w:val="Normal"/>
    <w:link w:val="KomentarotekstasDiagrama"/>
    <w:uiPriority w:val="99"/>
    <w:unhideWhenUsed/>
    <w:rsid w:val="00334467"/>
    <w:pPr>
      <w:spacing w:lineRule="auto" w:line="240"/>
    </w:pPr>
    <w:rPr>
      <w:sz w:val="20"/>
      <w:szCs w:val="20"/>
    </w:rPr>
  </w:style>
  <w:style w:type="paragraph" w:styleId="annotationsubject">
    <w:name w:val="annotation subject"/>
    <w:basedOn w:val="CommentText"/>
    <w:next w:val="CommentText"/>
    <w:link w:val="KomentarotemaDiagrama"/>
    <w:uiPriority w:val="99"/>
    <w:semiHidden/>
    <w:unhideWhenUsed/>
    <w:qFormat/>
    <w:rsid w:val="00334467"/>
    <w:pPr/>
    <w:rPr>
      <w:b/>
      <w:bCs/>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477</TotalTime>
  <Application>LibreOffice/24.8.0.3$Windows_X86_64 LibreOffice_project/0bdf1299c94fe897b119f97f3c613e9dca6be583</Application>
  <AppVersion>15.0000</AppVersion>
  <Pages>2</Pages>
  <Words>655</Words>
  <Characters>4763</Characters>
  <CharactersWithSpaces>5406</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2023-05-04T05:48:00Z</dcterms:created>
  <dc:creator>Ugnė Užtupienė | VMU</dc:creator>
  <dc:description/>
  <dc:language>lt-LT</dc:language>
  <cp:lastModifiedBy/>
  <dcterms:modified xsi:type="dcterms:W3CDTF">2026-03-02T08:23:45Z</dcterms:modified>
  <cp:revision>187</cp:revision>
  <dc:subject/>
  <dc:title/>
</cp:coreProperties>
</file>

<file path=docProps/custom.xml><?xml version="1.0" encoding="utf-8"?>
<Properties xmlns="http://schemas.openxmlformats.org/officeDocument/2006/custom-properties" xmlns:vt="http://schemas.openxmlformats.org/officeDocument/2006/docPropsVTypes"/>
</file>